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EC9" w:rsidRPr="00C366D5" w:rsidRDefault="00153EC9" w:rsidP="00A16450">
      <w:pPr>
        <w:pStyle w:val="NoSpacing"/>
        <w:outlineLvl w:val="0"/>
        <w:rPr>
          <w:b/>
        </w:rPr>
      </w:pPr>
      <w:r w:rsidRPr="00C366D5">
        <w:rPr>
          <w:b/>
        </w:rPr>
        <w:t>Odprta zbornica za sodobno umetnost</w:t>
      </w:r>
    </w:p>
    <w:p w:rsidR="00153EC9" w:rsidRDefault="00153EC9" w:rsidP="00C366D5">
      <w:pPr>
        <w:pStyle w:val="NoSpacing"/>
      </w:pPr>
      <w:r>
        <w:t xml:space="preserve">Forum za </w:t>
      </w:r>
      <w:proofErr w:type="spellStart"/>
      <w:r>
        <w:t>samooorganizacijo</w:t>
      </w:r>
      <w:proofErr w:type="spellEnd"/>
      <w:r>
        <w:t xml:space="preserve"> posameznikov na področju vizualne, intermedijske in interdisciplinarne umetnosti</w:t>
      </w:r>
    </w:p>
    <w:p w:rsidR="00153EC9" w:rsidRDefault="00153EC9">
      <w:pPr>
        <w:rPr>
          <w:b/>
        </w:rPr>
      </w:pPr>
    </w:p>
    <w:p w:rsidR="00153EC9" w:rsidRDefault="00153EC9">
      <w:pPr>
        <w:rPr>
          <w:b/>
        </w:rPr>
      </w:pPr>
    </w:p>
    <w:p w:rsidR="00153EC9" w:rsidRPr="00C614C0" w:rsidRDefault="00153EC9" w:rsidP="00A16450">
      <w:pPr>
        <w:outlineLvl w:val="0"/>
        <w:rPr>
          <w:sz w:val="32"/>
          <w:szCs w:val="32"/>
        </w:rPr>
      </w:pPr>
      <w:r w:rsidRPr="00C366D5">
        <w:rPr>
          <w:b/>
          <w:sz w:val="32"/>
          <w:szCs w:val="32"/>
        </w:rPr>
        <w:t>Pripombe na osnutek Nacionalnega programa za kulturo 2013-2016</w:t>
      </w:r>
    </w:p>
    <w:p w:rsidR="00153EC9" w:rsidRDefault="00153EC9" w:rsidP="00DD004A">
      <w:pPr>
        <w:pStyle w:val="NoSpacing"/>
      </w:pPr>
    </w:p>
    <w:p w:rsidR="00153EC9" w:rsidRDefault="00153EC9" w:rsidP="00DD004A">
      <w:pPr>
        <w:pStyle w:val="NoSpacing"/>
        <w:rPr>
          <w:shd w:val="clear" w:color="auto" w:fill="FFFFFF"/>
        </w:rPr>
      </w:pPr>
      <w:r>
        <w:t xml:space="preserve">V Odprti zbornici smo zaskrbljeni nad osnutkom NPK 2013-2016, ki ga je pripravilo Ministrstvo za izobraževanje, znanost, kulturo in šport. Dokument je neprimerno krajši od osnutka NPK 2012-2015, ki je </w:t>
      </w:r>
      <w:r>
        <w:rPr>
          <w:shd w:val="clear" w:color="auto" w:fill="FFFFFF"/>
        </w:rPr>
        <w:t xml:space="preserve">temeljil na analizi stanja na področju kulture. Stanovske organizacije in združenja pa so nanj podale tudi svoje pripombe in predloge za izboljšave. Novi osnutek NPK starega sploh ne omenja, še več, v prvem stavku dokumenta je zapisano, da prejšnja vodstvena ekipa takega dokumenta ni zmogla sestaviti. Zaskrbljeni smo nad odločitvijo MIZKŠ, da uvodni stavek uvodnega dela pomembnega strateškega dokumenta uporabi za </w:t>
      </w:r>
      <w:proofErr w:type="spellStart"/>
      <w:r>
        <w:rPr>
          <w:shd w:val="clear" w:color="auto" w:fill="FFFFFF"/>
        </w:rPr>
        <w:t>diskreditacijo</w:t>
      </w:r>
      <w:proofErr w:type="spellEnd"/>
      <w:r>
        <w:rPr>
          <w:shd w:val="clear" w:color="auto" w:fill="FFFFFF"/>
        </w:rPr>
        <w:t xml:space="preserve"> dela predhodnikov. Namesto da bi izhajali iz predhodnega osnutka 2012-</w:t>
      </w:r>
      <w:smartTag w:uri="urn:schemas-microsoft-com:office:smarttags" w:element="metricconverter">
        <w:smartTagPr>
          <w:attr w:name="ProductID" w:val="2015 in"/>
        </w:smartTagPr>
        <w:r>
          <w:rPr>
            <w:shd w:val="clear" w:color="auto" w:fill="FFFFFF"/>
          </w:rPr>
          <w:t>2015 in</w:t>
        </w:r>
      </w:smartTag>
      <w:r>
        <w:rPr>
          <w:shd w:val="clear" w:color="auto" w:fill="FFFFFF"/>
        </w:rPr>
        <w:t xml:space="preserve"> ga nadgradili upoštevajoč pripombe in predloge strokovne javnosti, so se odločili da novi dokument močno okrnijo. </w:t>
      </w:r>
    </w:p>
    <w:p w:rsidR="00153EC9" w:rsidRDefault="00153EC9" w:rsidP="00962F90">
      <w:pPr>
        <w:pStyle w:val="NoSpacing"/>
        <w:rPr>
          <w:shd w:val="clear" w:color="auto" w:fill="FFFFFF"/>
        </w:rPr>
      </w:pPr>
    </w:p>
    <w:p w:rsidR="00153EC9" w:rsidRDefault="00153EC9" w:rsidP="00962F90">
      <w:pPr>
        <w:pStyle w:val="NoSpacing"/>
      </w:pPr>
      <w:r>
        <w:rPr>
          <w:shd w:val="clear" w:color="auto" w:fill="FFFFFF"/>
        </w:rPr>
        <w:t>Skrbi nas umik vseh finančnih postavk iz osnutka NPK in sklicevanje na krizo ter negotove politične razmere. NPK je strateški in zavezujoč dokument, ki pokriva triletno obdobje. Iz tega lahko razumemo, da bo zaradi negotovih razmer naslednja tri leta financiranje kulture še naprej potekalo zgolj po »inerciji«.</w:t>
      </w:r>
    </w:p>
    <w:p w:rsidR="00153EC9" w:rsidRDefault="00153EC9" w:rsidP="00DD004A">
      <w:pPr>
        <w:pStyle w:val="NoSpacing"/>
        <w:rPr>
          <w:shd w:val="clear" w:color="auto" w:fill="FFFFFF"/>
        </w:rPr>
      </w:pPr>
    </w:p>
    <w:p w:rsidR="00153EC9" w:rsidRDefault="00153EC9" w:rsidP="00DD004A">
      <w:pPr>
        <w:pStyle w:val="NoSpacing"/>
        <w:rPr>
          <w:shd w:val="clear" w:color="auto" w:fill="FFFFFF"/>
        </w:rPr>
      </w:pPr>
      <w:r>
        <w:rPr>
          <w:shd w:val="clear" w:color="auto" w:fill="FFFFFF"/>
        </w:rPr>
        <w:t xml:space="preserve">Prav tako nas skrbi način opredeljevanja kulture v Sloveniji in izražena načela kulturne politike. Izrazito poudarjanje slovenskega jezika postavlja na drugi tir vsa tista umetniška izražanja, ki ne temeljijo na pisani in govorjeni besedi (likovna, vizualna, </w:t>
      </w:r>
      <w:proofErr w:type="spellStart"/>
      <w:r>
        <w:rPr>
          <w:shd w:val="clear" w:color="auto" w:fill="FFFFFF"/>
        </w:rPr>
        <w:t>intermedijska</w:t>
      </w:r>
      <w:proofErr w:type="spellEnd"/>
      <w:r>
        <w:rPr>
          <w:shd w:val="clear" w:color="auto" w:fill="FFFFFF"/>
        </w:rPr>
        <w:t xml:space="preserve"> in interdisciplinarna umetnost, glasba, ples itd.).</w:t>
      </w:r>
    </w:p>
    <w:p w:rsidR="00153EC9" w:rsidRDefault="00153EC9" w:rsidP="00C366D5">
      <w:pPr>
        <w:pStyle w:val="NoSpacing"/>
        <w:rPr>
          <w:shd w:val="clear" w:color="auto" w:fill="FFFFFF"/>
        </w:rPr>
      </w:pPr>
    </w:p>
    <w:p w:rsidR="00153EC9" w:rsidRDefault="00153EC9" w:rsidP="00C366D5">
      <w:pPr>
        <w:pStyle w:val="NoSpacing"/>
        <w:rPr>
          <w:shd w:val="clear" w:color="auto" w:fill="FFFFFF"/>
        </w:rPr>
      </w:pPr>
      <w:r>
        <w:rPr>
          <w:shd w:val="clear" w:color="auto" w:fill="FFFFFF"/>
        </w:rPr>
        <w:t xml:space="preserve">Opažamo pretirano poudarjanje elementov nacionalnega v kulturi, ki spominjajo na neko drugo zgodovinsko obdobje, ko se je Slovenski narod prebujal, iskal potrditev in svoje mesto v svetu. Danes, ko je Slovenija polnopravna članica Evropske unije, in je slovenski jezik eden od njenih uradnih jezikov, so taka pojmovanja zastarela in lahko spodbujajo različne oblike nacionalizma. V Odprti zbornici razumemo kulturo in umetnost kot produkcijo vednosti, kot platformo za kritično vrednotenje kulturno-družbene ter politične preteklosti in sedanjosti. Pomembneje od poudarjanja nacionalnosti, se nam zdi poudarjati človeško dostojanstvo. V tej luči pa pri predstavljenih načelih kulturne politike pogrešamo tudi zavezo k izboljšanju težkega socialnega položaja ustvarjalcev, ki tvorijo jedro produkcije novih kulturnih vsebin. Od kulturne politike pričakujemo, da se bo bolj zavzela za preživetje aktivnih ustvarjalcev in uveljavljanju njihovih osnovnih človekovih pravic. Zato podpiramo zavezo poenotenja razstavne politike </w:t>
      </w:r>
      <w:r w:rsidRPr="00C366D5">
        <w:rPr>
          <w:shd w:val="clear" w:color="auto" w:fill="FFFFFF"/>
        </w:rPr>
        <w:t>v vseh galerijah in muzejih, katerih programi in projekt</w:t>
      </w:r>
      <w:r>
        <w:rPr>
          <w:shd w:val="clear" w:color="auto" w:fill="FFFFFF"/>
        </w:rPr>
        <w:t>i vključujejo sodobno umetnost, ki</w:t>
      </w:r>
      <w:r w:rsidRPr="00C366D5">
        <w:rPr>
          <w:shd w:val="clear" w:color="auto" w:fill="FFFFFF"/>
        </w:rPr>
        <w:t xml:space="preserve"> jih sofinancira M</w:t>
      </w:r>
      <w:r>
        <w:rPr>
          <w:shd w:val="clear" w:color="auto" w:fill="FFFFFF"/>
        </w:rPr>
        <w:t xml:space="preserve">IZKŠ, v prid izplačevanja razstavnin umetnikom. Saj je to začetni korak v smeri k pravičnejšemu obravnavanju in vrednotenju dela umetnikov ter izboljšanju njihovega socialnega položaja.   </w:t>
      </w:r>
    </w:p>
    <w:p w:rsidR="00153EC9" w:rsidRDefault="00153EC9" w:rsidP="002223E4">
      <w:pPr>
        <w:pStyle w:val="NoSpacing"/>
        <w:rPr>
          <w:shd w:val="clear" w:color="auto" w:fill="FFFFFF"/>
        </w:rPr>
      </w:pPr>
    </w:p>
    <w:p w:rsidR="00153EC9" w:rsidRDefault="00153EC9" w:rsidP="002223E4">
      <w:pPr>
        <w:pStyle w:val="NoSpacing"/>
        <w:rPr>
          <w:shd w:val="clear" w:color="auto" w:fill="FFFFFF"/>
        </w:rPr>
      </w:pPr>
    </w:p>
    <w:p w:rsidR="00153EC9" w:rsidRDefault="00153EC9" w:rsidP="00A45FEE">
      <w:pPr>
        <w:pStyle w:val="NoSpacing"/>
      </w:pPr>
      <w:r>
        <w:rPr>
          <w:shd w:val="clear" w:color="auto" w:fill="FFFFFF"/>
        </w:rPr>
        <w:t>V o</w:t>
      </w:r>
      <w:r>
        <w:rPr>
          <w:rFonts w:cs="Calibri"/>
          <w:color w:val="222222"/>
        </w:rPr>
        <w:t>snut</w:t>
      </w:r>
      <w:r w:rsidRPr="002223E4">
        <w:rPr>
          <w:rFonts w:cs="Calibri"/>
          <w:color w:val="222222"/>
        </w:rPr>
        <w:t>k</w:t>
      </w:r>
      <w:r>
        <w:rPr>
          <w:rFonts w:cs="Calibri"/>
          <w:color w:val="222222"/>
        </w:rPr>
        <w:t xml:space="preserve">u NPK pogrešamo opaznejšo omembo neodvisne kulture in nevladnih organizacij (NVO). Kulturno prakso se polarizira na eni strani z </w:t>
      </w:r>
      <w:r w:rsidRPr="002223E4">
        <w:rPr>
          <w:rFonts w:cs="Calibri"/>
          <w:color w:val="222222"/>
        </w:rPr>
        <w:t>visoko kulturo, ki je namenjena elitam, trgu in kreativnim industrijam</w:t>
      </w:r>
      <w:r>
        <w:rPr>
          <w:rFonts w:cs="Calibri"/>
          <w:color w:val="222222"/>
        </w:rPr>
        <w:t xml:space="preserve">, na drugi pa z </w:t>
      </w:r>
      <w:r w:rsidRPr="002223E4">
        <w:rPr>
          <w:rFonts w:cs="Calibri"/>
          <w:color w:val="222222"/>
        </w:rPr>
        <w:t>ljubiteljsko in širše dostopno kulturo, ki temelji na prostovoljnih dejavnostih društev in posame</w:t>
      </w:r>
      <w:r>
        <w:rPr>
          <w:rFonts w:cs="Calibri"/>
          <w:color w:val="222222"/>
        </w:rPr>
        <w:t xml:space="preserve">znikov. </w:t>
      </w:r>
      <w:r w:rsidRPr="002223E4">
        <w:rPr>
          <w:rFonts w:cs="Calibri"/>
          <w:color w:val="222222"/>
        </w:rPr>
        <w:t xml:space="preserve">Nikjer </w:t>
      </w:r>
      <w:r>
        <w:rPr>
          <w:rFonts w:cs="Calibri"/>
          <w:color w:val="222222"/>
        </w:rPr>
        <w:t xml:space="preserve">pa </w:t>
      </w:r>
      <w:r w:rsidRPr="002223E4">
        <w:rPr>
          <w:rFonts w:cs="Calibri"/>
          <w:color w:val="222222"/>
        </w:rPr>
        <w:t>ni zaslediti tendence</w:t>
      </w:r>
      <w:r>
        <w:rPr>
          <w:rFonts w:cs="Calibri"/>
          <w:color w:val="222222"/>
        </w:rPr>
        <w:t xml:space="preserve"> k</w:t>
      </w:r>
      <w:r w:rsidRPr="002223E4">
        <w:rPr>
          <w:rFonts w:cs="Calibri"/>
          <w:color w:val="222222"/>
        </w:rPr>
        <w:t xml:space="preserve"> variacij</w:t>
      </w:r>
      <w:r>
        <w:rPr>
          <w:rFonts w:cs="Calibri"/>
          <w:color w:val="222222"/>
        </w:rPr>
        <w:t>i</w:t>
      </w:r>
      <w:r w:rsidRPr="002223E4">
        <w:rPr>
          <w:rFonts w:cs="Calibri"/>
          <w:color w:val="222222"/>
        </w:rPr>
        <w:t xml:space="preserve"> teh dveh entitet, ki</w:t>
      </w:r>
      <w:r>
        <w:rPr>
          <w:rFonts w:cs="Calibri"/>
          <w:color w:val="222222"/>
        </w:rPr>
        <w:t xml:space="preserve"> bi bila finančno podprta. Neodvisna kultura in izredno živahna, tudi mednarodno prepoznavna scena </w:t>
      </w:r>
      <w:r>
        <w:rPr>
          <w:rFonts w:cs="Calibri"/>
          <w:color w:val="222222"/>
        </w:rPr>
        <w:lastRenderedPageBreak/>
        <w:t>NVO, omogoča</w:t>
      </w:r>
      <w:r w:rsidRPr="002223E4">
        <w:rPr>
          <w:rFonts w:cs="Calibri"/>
          <w:color w:val="222222"/>
        </w:rPr>
        <w:t xml:space="preserve"> </w:t>
      </w:r>
      <w:r>
        <w:rPr>
          <w:rFonts w:cs="Calibri"/>
          <w:color w:val="222222"/>
        </w:rPr>
        <w:t xml:space="preserve">tistim </w:t>
      </w:r>
      <w:r w:rsidRPr="002223E4">
        <w:rPr>
          <w:rFonts w:cs="Calibri"/>
          <w:color w:val="222222"/>
        </w:rPr>
        <w:t xml:space="preserve">ustvarjalcem, ki </w:t>
      </w:r>
      <w:r>
        <w:rPr>
          <w:rFonts w:cs="Calibri"/>
          <w:color w:val="222222"/>
        </w:rPr>
        <w:t>ne nastopajo na trgu (za katerega vemo, da ga skorajda ni ali pa je zelo omejen) s</w:t>
      </w:r>
      <w:r w:rsidRPr="002223E4">
        <w:rPr>
          <w:rFonts w:cs="Calibri"/>
          <w:color w:val="222222"/>
        </w:rPr>
        <w:t>trokovn</w:t>
      </w:r>
      <w:r>
        <w:rPr>
          <w:rFonts w:cs="Calibri"/>
          <w:color w:val="222222"/>
        </w:rPr>
        <w:t>o</w:t>
      </w:r>
      <w:r w:rsidRPr="002223E4">
        <w:rPr>
          <w:rFonts w:cs="Calibri"/>
          <w:color w:val="222222"/>
        </w:rPr>
        <w:t xml:space="preserve"> in profesionaln</w:t>
      </w:r>
      <w:r>
        <w:rPr>
          <w:rFonts w:cs="Calibri"/>
          <w:color w:val="222222"/>
        </w:rPr>
        <w:t xml:space="preserve">o ustvarjanje, uporabnikom pa brezplačni ali cenovno ugodni </w:t>
      </w:r>
      <w:r w:rsidRPr="002223E4">
        <w:rPr>
          <w:rFonts w:cs="Calibri"/>
          <w:color w:val="222222"/>
        </w:rPr>
        <w:t>dostop do kvalitetnih umetniški</w:t>
      </w:r>
      <w:r>
        <w:rPr>
          <w:rFonts w:cs="Calibri"/>
          <w:color w:val="222222"/>
        </w:rPr>
        <w:t>h</w:t>
      </w:r>
      <w:r w:rsidRPr="002223E4">
        <w:rPr>
          <w:rFonts w:cs="Calibri"/>
          <w:color w:val="222222"/>
        </w:rPr>
        <w:t xml:space="preserve"> vsebin. </w:t>
      </w:r>
      <w:r>
        <w:rPr>
          <w:rFonts w:cs="Calibri"/>
          <w:color w:val="222222"/>
        </w:rPr>
        <w:t>V osnutku</w:t>
      </w:r>
      <w:r w:rsidRPr="002223E4">
        <w:rPr>
          <w:rFonts w:cs="Calibri"/>
          <w:color w:val="222222"/>
        </w:rPr>
        <w:t xml:space="preserve"> NPK izrecno izginja pobuda za kvalitetno in profesionalno umetnost in kulturo, ki je</w:t>
      </w:r>
      <w:r>
        <w:rPr>
          <w:rFonts w:cs="Calibri"/>
          <w:color w:val="222222"/>
        </w:rPr>
        <w:t xml:space="preserve"> neprofitna in je kot javno dobro</w:t>
      </w:r>
      <w:r w:rsidRPr="002223E4">
        <w:rPr>
          <w:rFonts w:cs="Calibri"/>
          <w:color w:val="222222"/>
        </w:rPr>
        <w:t xml:space="preserve"> namenjena vsem</w:t>
      </w:r>
      <w:r>
        <w:rPr>
          <w:rFonts w:cs="Calibri"/>
          <w:color w:val="222222"/>
        </w:rPr>
        <w:t xml:space="preserve"> prebivalkam in prebivalcem</w:t>
      </w:r>
      <w:r w:rsidRPr="002223E4">
        <w:rPr>
          <w:rFonts w:cs="Calibri"/>
          <w:color w:val="222222"/>
        </w:rPr>
        <w:t>.</w:t>
      </w:r>
      <w:r w:rsidRPr="002223E4">
        <w:rPr>
          <w:rFonts w:cs="Calibri"/>
          <w:color w:val="222222"/>
        </w:rPr>
        <w:br/>
      </w:r>
      <w:r>
        <w:br/>
        <w:t xml:space="preserve">Ugotavljamo, da osnutek NPK še vedno strogo ločuje med umetniškimi področji (uprizoritvena, glasbena, vizualna in </w:t>
      </w:r>
      <w:proofErr w:type="spellStart"/>
      <w:r>
        <w:t>intermedijska</w:t>
      </w:r>
      <w:proofErr w:type="spellEnd"/>
      <w:r>
        <w:t xml:space="preserve"> umetnost), kar je posledica zastarele modernistične terminologije v smislu specializacije znanj. Sodobni ustvarjalci delujejo izrazito interdisciplinarno in spajajo več omenjenih področjih (na primer jezik in vizualno, zvok in vizualno, jezik in zvok ...). Smernice kulturne politike v osnutku NPK take prakse ne prepoznavajo in pri opisih področij ne uporabljajo dovolj odprtih in drsečih načinov artikulacije, ki bi zajele tudi številne take ustvarjalce. </w:t>
      </w:r>
    </w:p>
    <w:p w:rsidR="00153EC9" w:rsidRDefault="00153EC9" w:rsidP="00A45FEE">
      <w:pPr>
        <w:pStyle w:val="NoSpacing"/>
      </w:pPr>
    </w:p>
    <w:p w:rsidR="00153EC9" w:rsidRDefault="00153EC9" w:rsidP="00A45FEE">
      <w:pPr>
        <w:pStyle w:val="NoSpacing"/>
      </w:pPr>
      <w:r>
        <w:t xml:space="preserve">V uvodni predstavitvi vizualne umetnosti, kjer se opisuje pluralnost področja in se naštevajo različne zvrsti,  pogrešamo marsikatero umetniško prakso (npr. konceptualna, </w:t>
      </w:r>
      <w:proofErr w:type="spellStart"/>
      <w:r>
        <w:t>postkonceptualna</w:t>
      </w:r>
      <w:proofErr w:type="spellEnd"/>
      <w:r>
        <w:t xml:space="preserve">, postmoderna, </w:t>
      </w:r>
      <w:proofErr w:type="spellStart"/>
      <w:r>
        <w:t>postkolonialna</w:t>
      </w:r>
      <w:proofErr w:type="spellEnd"/>
      <w:r>
        <w:t>, LGBT umetnost itd.). Z</w:t>
      </w:r>
      <w:r w:rsidRPr="00BD25A3">
        <w:t xml:space="preserve"> zgodovinske</w:t>
      </w:r>
      <w:r>
        <w:t>ga vidika</w:t>
      </w:r>
      <w:r w:rsidRPr="00BD25A3">
        <w:t xml:space="preserve"> </w:t>
      </w:r>
      <w:r>
        <w:t xml:space="preserve">je omemba </w:t>
      </w:r>
      <w:r w:rsidRPr="00BD25A3">
        <w:t xml:space="preserve">avantgarde 20. </w:t>
      </w:r>
      <w:r>
        <w:t>s</w:t>
      </w:r>
      <w:r w:rsidRPr="00BD25A3">
        <w:t>toletja</w:t>
      </w:r>
      <w:r>
        <w:t xml:space="preserve"> kot končnega umetnostnozgodovinskega obdobja, na katerem temeljijo sodobne prakse, zastarelo</w:t>
      </w:r>
      <w:r w:rsidRPr="00BD25A3">
        <w:t>. Potrebno je razteg</w:t>
      </w:r>
      <w:r>
        <w:t>n</w:t>
      </w:r>
      <w:r w:rsidRPr="00BD25A3">
        <w:t xml:space="preserve">iti </w:t>
      </w:r>
      <w:proofErr w:type="spellStart"/>
      <w:r w:rsidRPr="00BD25A3">
        <w:t>časovnico</w:t>
      </w:r>
      <w:proofErr w:type="spellEnd"/>
      <w:r w:rsidRPr="00BD25A3">
        <w:t xml:space="preserve"> do </w:t>
      </w:r>
      <w:r>
        <w:t>današnjega časa in</w:t>
      </w:r>
      <w:r w:rsidRPr="00BD25A3">
        <w:t xml:space="preserve"> v</w:t>
      </w:r>
      <w:r>
        <w:t xml:space="preserve"> besedilo</w:t>
      </w:r>
      <w:r w:rsidRPr="00BD25A3">
        <w:t xml:space="preserve"> vnes</w:t>
      </w:r>
      <w:r>
        <w:t xml:space="preserve">ti tudi </w:t>
      </w:r>
      <w:r w:rsidRPr="00BD25A3">
        <w:t xml:space="preserve">obdobja, ki so </w:t>
      </w:r>
      <w:r>
        <w:t xml:space="preserve">se </w:t>
      </w:r>
      <w:r w:rsidRPr="00BD25A3">
        <w:t xml:space="preserve">oblikovala po </w:t>
      </w:r>
      <w:r>
        <w:t xml:space="preserve">zgodovinskih </w:t>
      </w:r>
      <w:r w:rsidRPr="00BD25A3">
        <w:t>avantgardah</w:t>
      </w:r>
      <w:r>
        <w:t>. Potrebno je izpostaviti tudi pomen sodobne ustvarjalnosti, ki je raziskovalne in interdisciplinarne narave.</w:t>
      </w:r>
    </w:p>
    <w:p w:rsidR="00153EC9" w:rsidRDefault="00153EC9" w:rsidP="00A45FEE">
      <w:pPr>
        <w:pStyle w:val="NoSpacing"/>
      </w:pPr>
    </w:p>
    <w:p w:rsidR="00153EC9" w:rsidRDefault="00153EC9" w:rsidP="00C614C0">
      <w:pPr>
        <w:pStyle w:val="NoSpacing"/>
      </w:pPr>
      <w:r>
        <w:t xml:space="preserve">Razpisi tako na Evropski kot na nacionalni ravni že dolgo vključujejo širšo povezavo med socialo in umetnostjo. V osnutku NPK se sicer govori o ranljivih skupinah, Romih, zamejskih Slovencih itd. Ne prepoznava pa samozaposlenih, kot po socialnem statusu ranljive skupine. </w:t>
      </w:r>
      <w:r w:rsidRPr="00C366D5">
        <w:t xml:space="preserve">Prav tako se govori o </w:t>
      </w:r>
      <w:r>
        <w:t xml:space="preserve">povezovanju umetnosti in nekaterih področij (povezovanje umetnosti in znanosti je izpostavljeno na področju intermedijske umetnosti), tako bi v tem smislu bilo potrebno dodati izrecno opredelitev glede tako imenovane skupnostne umetnosti (v angleščini </w:t>
      </w:r>
      <w:proofErr w:type="spellStart"/>
      <w:r>
        <w:t>community</w:t>
      </w:r>
      <w:proofErr w:type="spellEnd"/>
      <w:r>
        <w:t xml:space="preserve"> </w:t>
      </w:r>
      <w:proofErr w:type="spellStart"/>
      <w:r>
        <w:t>art</w:t>
      </w:r>
      <w:proofErr w:type="spellEnd"/>
      <w:r>
        <w:t>). Kot že omenjeno, je veliko razpisov s tega področja in veliko institucij (predvsem nevladnih organizacij) v Sloveniji se je z izvajanjem tovrstnih programov že izoblikovalo v tej smeri, vendar pa to področje ne dobiva dovolj legitimnega prostora v govoru o umetnosti in kulturi tudi v osnutku NPK. Ne nazadnje je Slovenija v Ustavi RS opredeljena kot socialna država in v NPK bi lahko bilo kakšno poglavje tudi o tem.</w:t>
      </w:r>
    </w:p>
    <w:p w:rsidR="00153EC9" w:rsidRDefault="00153EC9" w:rsidP="00C614C0">
      <w:pPr>
        <w:pStyle w:val="NoSpacing"/>
      </w:pPr>
    </w:p>
    <w:p w:rsidR="00153EC9" w:rsidRDefault="00153EC9" w:rsidP="00C614C0">
      <w:pPr>
        <w:pStyle w:val="NoSpacing"/>
      </w:pPr>
    </w:p>
    <w:p w:rsidR="00153EC9" w:rsidRPr="00CF3E61" w:rsidRDefault="00153EC9" w:rsidP="00A16450">
      <w:pPr>
        <w:pStyle w:val="NoSpacing"/>
        <w:outlineLvl w:val="0"/>
        <w:rPr>
          <w:b/>
          <w:sz w:val="28"/>
          <w:szCs w:val="28"/>
        </w:rPr>
      </w:pPr>
      <w:r w:rsidRPr="00CF3E61">
        <w:rPr>
          <w:b/>
          <w:sz w:val="28"/>
          <w:szCs w:val="28"/>
        </w:rPr>
        <w:t>Predlagamo naslednje spremembe</w:t>
      </w:r>
    </w:p>
    <w:p w:rsidR="00153EC9" w:rsidRDefault="00153EC9" w:rsidP="00C614C0">
      <w:pPr>
        <w:pStyle w:val="NoSpacing"/>
      </w:pPr>
    </w:p>
    <w:p w:rsidR="00153EC9" w:rsidRPr="00CF3E61" w:rsidRDefault="00153EC9" w:rsidP="00A16450">
      <w:pPr>
        <w:pStyle w:val="NoSpacing"/>
        <w:outlineLvl w:val="0"/>
        <w:rPr>
          <w:u w:val="single"/>
        </w:rPr>
      </w:pPr>
      <w:r w:rsidRPr="00CF3E61">
        <w:rPr>
          <w:u w:val="single"/>
        </w:rPr>
        <w:t>Vizualna umetnost</w:t>
      </w:r>
    </w:p>
    <w:p w:rsidR="00153EC9" w:rsidRPr="00CF3E61" w:rsidRDefault="00153EC9" w:rsidP="00C614C0">
      <w:pPr>
        <w:pStyle w:val="NoSpacing"/>
      </w:pPr>
    </w:p>
    <w:p w:rsidR="00153EC9" w:rsidRPr="00CF3E61" w:rsidRDefault="00153EC9" w:rsidP="00CF3E61">
      <w:r>
        <w:t>K ukrep</w:t>
      </w:r>
      <w:r w:rsidR="00E44237">
        <w:t>u</w:t>
      </w:r>
      <w:r>
        <w:t xml:space="preserve"> prvega cilja (poenotena politika razstavnih prostorov) dodajamo</w:t>
      </w:r>
      <w:r w:rsidR="00E44237">
        <w:t xml:space="preserve"> še dodatne ukrepe</w:t>
      </w:r>
      <w:r>
        <w:t xml:space="preserve"> (v rdečem):</w:t>
      </w:r>
    </w:p>
    <w:p w:rsidR="00153EC9" w:rsidRDefault="00153EC9" w:rsidP="00CF3E61">
      <w:pPr>
        <w:rPr>
          <w:i/>
        </w:rPr>
      </w:pPr>
      <w:r w:rsidRPr="00A50896">
        <w:rPr>
          <w:i/>
        </w:rPr>
        <w:t xml:space="preserve">Ukrep: </w:t>
      </w:r>
    </w:p>
    <w:p w:rsidR="00CB2086" w:rsidRPr="00CB2086" w:rsidRDefault="00CB2086" w:rsidP="00CB2086">
      <w:pPr>
        <w:numPr>
          <w:ilvl w:val="0"/>
          <w:numId w:val="2"/>
        </w:numPr>
        <w:rPr>
          <w:rStyle w:val="Emphasis"/>
        </w:rPr>
      </w:pPr>
      <w:r w:rsidRPr="00CB2086">
        <w:rPr>
          <w:rStyle w:val="Emphasis"/>
        </w:rPr>
        <w:t xml:space="preserve">Sprejetje </w:t>
      </w:r>
      <w:r w:rsidRPr="00CB2086">
        <w:rPr>
          <w:i/>
          <w:color w:val="FF0000"/>
        </w:rPr>
        <w:t>in poenotenje</w:t>
      </w:r>
      <w:r w:rsidRPr="00CB2086">
        <w:rPr>
          <w:rStyle w:val="Emphasis"/>
        </w:rPr>
        <w:t xml:space="preserve"> primerljivih normativov in  standardov za delo v javnih zavodih, nevladnih organizacijah in zasebnih galerijah ter njihovo spoštovanje pri vseh programih in projektih, ki jih sofinancira MIZKŠ. Izplačevanje avtorskega honorarja (razstavnine) vsem umetnikom za osebne razstave, ki jih  sofinancira MIZKŠ, ne glede na formalnopravni status galerije ali muzeja.</w:t>
      </w:r>
    </w:p>
    <w:p w:rsidR="00153EC9" w:rsidRPr="00E44237" w:rsidRDefault="00153EC9" w:rsidP="006D2726">
      <w:pPr>
        <w:numPr>
          <w:ilvl w:val="0"/>
          <w:numId w:val="1"/>
        </w:numPr>
        <w:rPr>
          <w:i/>
          <w:color w:val="FF0000"/>
        </w:rPr>
      </w:pPr>
      <w:r w:rsidRPr="00E44237">
        <w:rPr>
          <w:i/>
          <w:color w:val="FF0000"/>
        </w:rPr>
        <w:t>Revizija strokovne učinkovitosti delovanja javnih zavodov, nevladnih organizacij in zasebnih galerij v nacionalnem kontekstu ob izvajanju projektov, ki jih sofinancira M</w:t>
      </w:r>
      <w:r w:rsidR="00E44237" w:rsidRPr="00E44237">
        <w:rPr>
          <w:i/>
          <w:color w:val="FF0000"/>
        </w:rPr>
        <w:t>IZ</w:t>
      </w:r>
      <w:r w:rsidRPr="00E44237">
        <w:rPr>
          <w:i/>
          <w:color w:val="FF0000"/>
        </w:rPr>
        <w:t>K</w:t>
      </w:r>
      <w:r w:rsidR="00E44237" w:rsidRPr="00E44237">
        <w:rPr>
          <w:i/>
          <w:color w:val="FF0000"/>
        </w:rPr>
        <w:t>Š</w:t>
      </w:r>
      <w:r w:rsidRPr="00E44237">
        <w:rPr>
          <w:i/>
          <w:color w:val="FF0000"/>
        </w:rPr>
        <w:t>.</w:t>
      </w:r>
    </w:p>
    <w:p w:rsidR="00153EC9" w:rsidRPr="00E44237" w:rsidRDefault="00153EC9" w:rsidP="00CF3E61">
      <w:pPr>
        <w:numPr>
          <w:ilvl w:val="0"/>
          <w:numId w:val="1"/>
        </w:numPr>
        <w:rPr>
          <w:i/>
          <w:color w:val="FF0000"/>
        </w:rPr>
      </w:pPr>
      <w:r w:rsidRPr="00E44237">
        <w:rPr>
          <w:i/>
          <w:color w:val="FF0000"/>
        </w:rPr>
        <w:lastRenderedPageBreak/>
        <w:t xml:space="preserve">Dosledno </w:t>
      </w:r>
      <w:r w:rsidR="00E44237" w:rsidRPr="00E44237">
        <w:rPr>
          <w:i/>
        </w:rPr>
        <w:t>i</w:t>
      </w:r>
      <w:r w:rsidRPr="00E44237">
        <w:rPr>
          <w:i/>
        </w:rPr>
        <w:t>zplačevanje avtorskih honorarjev (razstavnine) vsem umetnikom za osebne</w:t>
      </w:r>
      <w:r w:rsidRPr="00E44237">
        <w:rPr>
          <w:i/>
          <w:color w:val="FF0000"/>
        </w:rPr>
        <w:t xml:space="preserve"> in skupinske </w:t>
      </w:r>
      <w:r w:rsidRPr="00E44237">
        <w:rPr>
          <w:i/>
        </w:rPr>
        <w:t>razstave, ki jih sofinancira M</w:t>
      </w:r>
      <w:r w:rsidR="00E44237" w:rsidRPr="00E44237">
        <w:rPr>
          <w:i/>
        </w:rPr>
        <w:t>IZKŠ</w:t>
      </w:r>
      <w:r w:rsidRPr="00E44237">
        <w:rPr>
          <w:i/>
        </w:rPr>
        <w:t>, ne glede na formalnopravni status galerije ali muzeja.</w:t>
      </w:r>
      <w:r w:rsidRPr="00E44237">
        <w:rPr>
          <w:i/>
          <w:color w:val="FF0000"/>
        </w:rPr>
        <w:t xml:space="preserve"> Izpostavitev jasnega in pravičnega sistema vrednotenja višine razstavnin glede na zahtevnost in obseg predstavitve (sploh v primerih predstavljanja sodobnih umetniških praks). </w:t>
      </w:r>
    </w:p>
    <w:p w:rsidR="00153EC9" w:rsidRPr="00E44237" w:rsidRDefault="00153EC9" w:rsidP="00CF3E61">
      <w:pPr>
        <w:numPr>
          <w:ilvl w:val="0"/>
          <w:numId w:val="1"/>
        </w:numPr>
        <w:rPr>
          <w:i/>
          <w:color w:val="FF0000"/>
        </w:rPr>
      </w:pPr>
      <w:r w:rsidRPr="00E44237">
        <w:rPr>
          <w:i/>
          <w:color w:val="FF0000"/>
        </w:rPr>
        <w:t>Racionalizacija delovanja razstavnih prostorov v kontekstu sinergije med razstavno politiko, izvajanjem le-te ter umetniki kot jedrom kreativnega kapitala.</w:t>
      </w:r>
    </w:p>
    <w:p w:rsidR="00153EC9" w:rsidRPr="00A50896" w:rsidRDefault="00153EC9" w:rsidP="006D2726">
      <w:pPr>
        <w:ind w:left="360"/>
        <w:rPr>
          <w:color w:val="404040"/>
        </w:rPr>
      </w:pPr>
      <w:r w:rsidRPr="00A50896">
        <w:rPr>
          <w:color w:val="404040"/>
        </w:rPr>
        <w:t>(Razlaga:  ta sklep mora biti vpisan tudi v področje varovanja kulturne dediščine</w:t>
      </w:r>
      <w:r>
        <w:rPr>
          <w:color w:val="404040"/>
        </w:rPr>
        <w:t>,</w:t>
      </w:r>
      <w:r w:rsidRPr="00A50896">
        <w:rPr>
          <w:color w:val="404040"/>
        </w:rPr>
        <w:t xml:space="preserve"> saj se sodobna umetnost razstavlja tudi v javnih zavodih, ki so registrirani na področju kulturne dediščine.)</w:t>
      </w:r>
    </w:p>
    <w:p w:rsidR="00153EC9" w:rsidRPr="00A50896" w:rsidRDefault="00153EC9" w:rsidP="008E703C">
      <w:pPr>
        <w:rPr>
          <w:i/>
        </w:rPr>
      </w:pPr>
      <w:r w:rsidRPr="00A50896">
        <w:rPr>
          <w:i/>
        </w:rPr>
        <w:t xml:space="preserve">Pojasnilo: Različne razstavne politike vedno ne pripomorejo k racionalni rabi javnih sredstev, obenem pa so lahko </w:t>
      </w:r>
      <w:proofErr w:type="spellStart"/>
      <w:r w:rsidRPr="00A50896">
        <w:rPr>
          <w:i/>
        </w:rPr>
        <w:t>diskriminatorne</w:t>
      </w:r>
      <w:proofErr w:type="spellEnd"/>
      <w:r w:rsidRPr="00A50896">
        <w:rPr>
          <w:i/>
        </w:rPr>
        <w:t xml:space="preserve"> do strokovnih sodelavcev in predvsem do umetnikov, kjer je neenotno stališče do izplačevanja avtorskega honorarja umetniku (razstavnine) posebej aktualen problem. Ukrep bi omogočil večjo preglednost v porabi javnih sredstev in njihov boljši izkoristek, bolj kakovostne razstavne projekte, možnost uvedbe ciljnih razpisov in pozivov ter spodobnejši položaj ustvarjalca, </w:t>
      </w:r>
      <w:r w:rsidRPr="00A50896">
        <w:rPr>
          <w:i/>
          <w:strike/>
          <w:color w:val="FF0000"/>
        </w:rPr>
        <w:t>ki se mu za honorar ne bo treba prijavljati na razpise kot fizična oseba in konkurirati poslovno močnejšim pravnim osebam</w:t>
      </w:r>
      <w:r w:rsidRPr="00A50896">
        <w:rPr>
          <w:i/>
        </w:rPr>
        <w:t>.</w:t>
      </w:r>
    </w:p>
    <w:p w:rsidR="00153EC9" w:rsidRPr="00A50896" w:rsidRDefault="00153EC9" w:rsidP="008E703C">
      <w:pPr>
        <w:ind w:left="708"/>
        <w:rPr>
          <w:color w:val="404040"/>
        </w:rPr>
      </w:pPr>
      <w:r w:rsidRPr="00A50896">
        <w:rPr>
          <w:color w:val="404040"/>
        </w:rPr>
        <w:t xml:space="preserve">(Razlaga: zadnji del stavka naj se nujno odstrani, saj izplačevanje razstavnin samo po sebi ne more povrniti vseh stroškov dela, ki jih ima avtor z nekim umetniškim projektom. Razstavnina je plačilo za prikazovanje dela in kot taka povrne le del stroškov dela in produkcijskih stroškov. Razstavnina tako ne more in ne sme biti razlog za ukinitev financiranja projektov samozaposlenih, za katere lahko zaprosijo preko projektnih in drugih razpisov. Bojimo se, da zadnji stavek namiguje na odpravo samostojnih prijav samozaposlenih na projektne razpise, kar bi za ustvarjalce pomenilo katastrofo. Ukrep bi stanje še poslabšal, saj bi ustvarjalcem odvzel še edini vir dohodkov, ki ga lahko samostojno pridobijo. Ob dolgi zgodovini problema </w:t>
      </w:r>
      <w:proofErr w:type="spellStart"/>
      <w:r w:rsidRPr="00A50896">
        <w:rPr>
          <w:color w:val="404040"/>
        </w:rPr>
        <w:t>neizplačevanja</w:t>
      </w:r>
      <w:proofErr w:type="spellEnd"/>
      <w:r w:rsidRPr="00A50896">
        <w:rPr>
          <w:color w:val="404040"/>
        </w:rPr>
        <w:t xml:space="preserve"> razstavnin in sistemskih problemov kot je nepripravljenost izplačila razstavnin umetnikov javnih zavodov ter oteževanja izplačevanja dela zunanjih delavcev javnih zavodov, razstavnina nikakor ne more poplačati dela umetnika.)</w:t>
      </w:r>
    </w:p>
    <w:p w:rsidR="00153EC9" w:rsidRDefault="00153EC9" w:rsidP="00C614C0">
      <w:pPr>
        <w:pStyle w:val="NoSpacing"/>
      </w:pPr>
    </w:p>
    <w:p w:rsidR="00153EC9" w:rsidRDefault="00153EC9" w:rsidP="00C614C0">
      <w:pPr>
        <w:pStyle w:val="NoSpacing"/>
      </w:pPr>
    </w:p>
    <w:p w:rsidR="00153EC9" w:rsidRDefault="00153EC9" w:rsidP="00A50896">
      <w:r>
        <w:t>Kot smo že v uvodnem besedilu zapisali, smo razočarani nad dejstvom, da je bil osnutek NPK, ki je bil pripravljen že leta 2011, občutno skrajšan. Že na tisti osnutek smo podali več vsebinsko utemeljenih pripomb, a  na naše presenečenje, letošnji osnutek vsebuje še manj in slabše predloge kot prejšnji. Predlagamo, da se v doda najmanj še cilj o izboljšanju položaja ustvarjalca</w:t>
      </w:r>
      <w:r w:rsidR="00E44237">
        <w:t>, ki je objavljen na 31. strani prejšnjega osnutka NPK</w:t>
      </w:r>
      <w:r>
        <w:t xml:space="preserve"> (skupaj s popravki):</w:t>
      </w:r>
    </w:p>
    <w:p w:rsidR="00153EC9" w:rsidRPr="00FA1BFF" w:rsidRDefault="00E44237" w:rsidP="00FA1BFF">
      <w:pPr>
        <w:rPr>
          <w:b/>
          <w:color w:val="FF0000"/>
          <w:lang w:eastAsia="sl-SI"/>
        </w:rPr>
      </w:pPr>
      <w:r>
        <w:rPr>
          <w:b/>
          <w:color w:val="FF0000"/>
          <w:lang w:eastAsia="sl-SI"/>
        </w:rPr>
        <w:t>C</w:t>
      </w:r>
      <w:r w:rsidR="00153EC9" w:rsidRPr="00FA1BFF">
        <w:rPr>
          <w:b/>
          <w:color w:val="FF0000"/>
          <w:lang w:eastAsia="sl-SI"/>
        </w:rPr>
        <w:t>ilj: I</w:t>
      </w:r>
      <w:r>
        <w:rPr>
          <w:b/>
          <w:color w:val="FF0000"/>
          <w:lang w:eastAsia="sl-SI"/>
        </w:rPr>
        <w:t>zboljšanje položaja ustvarjalca</w:t>
      </w:r>
    </w:p>
    <w:p w:rsidR="00153EC9" w:rsidRPr="00FA1BFF" w:rsidRDefault="00153EC9" w:rsidP="00A50896">
      <w:pPr>
        <w:rPr>
          <w:color w:val="FF0000"/>
          <w:lang w:eastAsia="sl-SI"/>
        </w:rPr>
      </w:pPr>
      <w:r w:rsidRPr="00FA1BFF">
        <w:rPr>
          <w:color w:val="FF0000"/>
        </w:rPr>
        <w:t xml:space="preserve">Ukrep1: </w:t>
      </w:r>
      <w:r w:rsidRPr="00FA1BFF">
        <w:rPr>
          <w:color w:val="FF0000"/>
          <w:lang w:eastAsia="sl-SI"/>
        </w:rPr>
        <w:t>Sprejem Zakona o umetniškem deležu v investicijskih projektih, ki bo predvideval dolo</w:t>
      </w:r>
      <w:r w:rsidRPr="00FA1BFF">
        <w:rPr>
          <w:rFonts w:ascii="TTE2t00" w:hAnsi="TTE2t00" w:cs="TTE2t00"/>
          <w:color w:val="FF0000"/>
          <w:lang w:eastAsia="sl-SI"/>
        </w:rPr>
        <w:t>č</w:t>
      </w:r>
      <w:r w:rsidRPr="00FA1BFF">
        <w:rPr>
          <w:color w:val="FF0000"/>
          <w:lang w:eastAsia="sl-SI"/>
        </w:rPr>
        <w:t xml:space="preserve">en odstotek vrednosti investicije v javne infrastrukturne objekte za nakup del vizualne umetnosti </w:t>
      </w:r>
      <w:r w:rsidRPr="00FA1BFF">
        <w:rPr>
          <w:strike/>
          <w:color w:val="FF0000"/>
          <w:lang w:eastAsia="sl-SI"/>
        </w:rPr>
        <w:t xml:space="preserve">likovno opremo. </w:t>
      </w:r>
    </w:p>
    <w:p w:rsidR="00153EC9" w:rsidRPr="00FA1BFF" w:rsidRDefault="00153EC9" w:rsidP="00A50896">
      <w:pPr>
        <w:rPr>
          <w:color w:val="FF0000"/>
          <w:lang w:eastAsia="sl-SI"/>
        </w:rPr>
      </w:pPr>
      <w:r w:rsidRPr="00B97524">
        <w:rPr>
          <w:rFonts w:cs="Calibri"/>
          <w:iCs/>
          <w:color w:val="FF0000"/>
          <w:lang w:eastAsia="sl-SI"/>
        </w:rPr>
        <w:t>Ukrep 2</w:t>
      </w:r>
      <w:r w:rsidRPr="00B97524">
        <w:rPr>
          <w:rFonts w:cs="Calibri"/>
          <w:color w:val="FF0000"/>
          <w:lang w:eastAsia="sl-SI"/>
        </w:rPr>
        <w:t xml:space="preserve">: </w:t>
      </w:r>
      <w:r w:rsidRPr="00FA1BFF">
        <w:rPr>
          <w:color w:val="FF0000"/>
          <w:lang w:eastAsia="sl-SI"/>
        </w:rPr>
        <w:t>Pove</w:t>
      </w:r>
      <w:r>
        <w:rPr>
          <w:rFonts w:ascii="TTE2t00" w:hAnsi="TTE2t00" w:cs="TTE2t00"/>
          <w:color w:val="FF0000"/>
          <w:lang w:eastAsia="sl-SI"/>
        </w:rPr>
        <w:t>č</w:t>
      </w:r>
      <w:r w:rsidRPr="00FA1BFF">
        <w:rPr>
          <w:color w:val="FF0000"/>
          <w:lang w:eastAsia="sl-SI"/>
        </w:rPr>
        <w:t xml:space="preserve">anje števila oziroma revizija </w:t>
      </w:r>
      <w:proofErr w:type="spellStart"/>
      <w:r w:rsidRPr="00FA1BFF">
        <w:rPr>
          <w:color w:val="FF0000"/>
          <w:lang w:eastAsia="sl-SI"/>
        </w:rPr>
        <w:t>na</w:t>
      </w:r>
      <w:r w:rsidRPr="00FA1BFF">
        <w:rPr>
          <w:rFonts w:ascii="TTE2t00" w:hAnsi="TTE2t00" w:cs="TTE2t00"/>
          <w:color w:val="FF0000"/>
          <w:lang w:eastAsia="sl-SI"/>
        </w:rPr>
        <w:t>c</w:t>
      </w:r>
      <w:r w:rsidRPr="00FA1BFF">
        <w:rPr>
          <w:color w:val="FF0000"/>
          <w:lang w:eastAsia="sl-SI"/>
        </w:rPr>
        <w:t>ina</w:t>
      </w:r>
      <w:proofErr w:type="spellEnd"/>
      <w:r w:rsidRPr="00FA1BFF">
        <w:rPr>
          <w:color w:val="FF0000"/>
          <w:lang w:eastAsia="sl-SI"/>
        </w:rPr>
        <w:t xml:space="preserve"> razdeljevanja delovnih štipendij in</w:t>
      </w:r>
      <w:r>
        <w:rPr>
          <w:color w:val="FF0000"/>
          <w:lang w:eastAsia="sl-SI"/>
        </w:rPr>
        <w:t xml:space="preserve"> </w:t>
      </w:r>
      <w:r w:rsidRPr="00FA1BFF">
        <w:rPr>
          <w:color w:val="FF0000"/>
          <w:lang w:eastAsia="sl-SI"/>
        </w:rPr>
        <w:t>reziden</w:t>
      </w:r>
      <w:r>
        <w:rPr>
          <w:rFonts w:ascii="TTE2t00" w:hAnsi="TTE2t00" w:cs="TTE2t00"/>
          <w:color w:val="FF0000"/>
          <w:lang w:eastAsia="sl-SI"/>
        </w:rPr>
        <w:t>č</w:t>
      </w:r>
      <w:r w:rsidRPr="00FA1BFF">
        <w:rPr>
          <w:color w:val="FF0000"/>
          <w:lang w:eastAsia="sl-SI"/>
        </w:rPr>
        <w:t>nih udeležb kot neposredne podpore ustvarjalcem.</w:t>
      </w:r>
    </w:p>
    <w:p w:rsidR="00153EC9" w:rsidRPr="00FA1BFF" w:rsidRDefault="00153EC9" w:rsidP="00A50896">
      <w:pPr>
        <w:rPr>
          <w:color w:val="FF0000"/>
          <w:lang w:eastAsia="sl-SI"/>
        </w:rPr>
      </w:pPr>
      <w:r w:rsidRPr="00B97524">
        <w:rPr>
          <w:rFonts w:cs="Calibri"/>
          <w:iCs/>
          <w:color w:val="FF0000"/>
          <w:lang w:eastAsia="sl-SI"/>
        </w:rPr>
        <w:lastRenderedPageBreak/>
        <w:t>Pojasnilo</w:t>
      </w:r>
      <w:r w:rsidRPr="00B97524">
        <w:rPr>
          <w:rFonts w:cs="Calibri"/>
          <w:color w:val="FF0000"/>
          <w:lang w:eastAsia="sl-SI"/>
        </w:rPr>
        <w:t xml:space="preserve">: </w:t>
      </w:r>
      <w:r w:rsidRPr="00FA1BFF">
        <w:rPr>
          <w:color w:val="FF0000"/>
          <w:lang w:eastAsia="sl-SI"/>
        </w:rPr>
        <w:t>Glede na Analizo stanja na podro</w:t>
      </w:r>
      <w:r>
        <w:rPr>
          <w:rFonts w:ascii="TTE2t00" w:hAnsi="TTE2t00" w:cs="TTE2t00"/>
          <w:color w:val="FF0000"/>
          <w:lang w:eastAsia="sl-SI"/>
        </w:rPr>
        <w:t>č</w:t>
      </w:r>
      <w:r w:rsidRPr="00FA1BFF">
        <w:rPr>
          <w:color w:val="FF0000"/>
          <w:lang w:eastAsia="sl-SI"/>
        </w:rPr>
        <w:t>ju kulture, ki kaže na izjemno slab položaj</w:t>
      </w:r>
      <w:r>
        <w:rPr>
          <w:color w:val="FF0000"/>
          <w:lang w:eastAsia="sl-SI"/>
        </w:rPr>
        <w:t xml:space="preserve"> </w:t>
      </w:r>
      <w:r w:rsidRPr="00FA1BFF">
        <w:rPr>
          <w:color w:val="FF0000"/>
          <w:lang w:eastAsia="sl-SI"/>
        </w:rPr>
        <w:t>ustvarjalcev na podro</w:t>
      </w:r>
      <w:r>
        <w:rPr>
          <w:rFonts w:ascii="TTE2t00" w:hAnsi="TTE2t00" w:cs="TTE2t00"/>
          <w:color w:val="FF0000"/>
          <w:lang w:eastAsia="sl-SI"/>
        </w:rPr>
        <w:t>č</w:t>
      </w:r>
      <w:r w:rsidRPr="00FA1BFF">
        <w:rPr>
          <w:color w:val="FF0000"/>
          <w:lang w:eastAsia="sl-SI"/>
        </w:rPr>
        <w:t>ju likovne umetnosti, je ena od prioritet zagotavljanje pogojev, ki bodo tej ciljni skupini umetnikov omogo</w:t>
      </w:r>
      <w:r>
        <w:rPr>
          <w:rFonts w:ascii="TTE2t00" w:hAnsi="TTE2t00" w:cs="TTE2t00"/>
          <w:color w:val="FF0000"/>
          <w:lang w:eastAsia="sl-SI"/>
        </w:rPr>
        <w:t>č</w:t>
      </w:r>
      <w:r w:rsidRPr="00FA1BFF">
        <w:rPr>
          <w:color w:val="FF0000"/>
          <w:lang w:eastAsia="sl-SI"/>
        </w:rPr>
        <w:t>ili možnosti za preživetje in ustvarjanje. Oba ukrepa predvidevata dvig splošne kulture bivanja, manj drobljenja javnih sredstev prek profiliranih razpisov, hitrejše postopke, zaradi ve</w:t>
      </w:r>
      <w:r>
        <w:rPr>
          <w:rFonts w:ascii="TTE2t00" w:hAnsi="TTE2t00" w:cs="TTE2t00"/>
          <w:color w:val="FF0000"/>
          <w:lang w:eastAsia="sl-SI"/>
        </w:rPr>
        <w:t>č</w:t>
      </w:r>
      <w:r w:rsidRPr="00FA1BFF">
        <w:rPr>
          <w:color w:val="FF0000"/>
          <w:lang w:eastAsia="sl-SI"/>
        </w:rPr>
        <w:t>je ekonomske neodvisnosti boljši položaj ustvarjalcev, njihovo ve</w:t>
      </w:r>
      <w:r>
        <w:rPr>
          <w:rFonts w:ascii="TTE2t00" w:hAnsi="TTE2t00" w:cs="TTE2t00"/>
          <w:color w:val="FF0000"/>
          <w:lang w:eastAsia="sl-SI"/>
        </w:rPr>
        <w:t>č</w:t>
      </w:r>
      <w:r w:rsidRPr="00FA1BFF">
        <w:rPr>
          <w:color w:val="FF0000"/>
          <w:lang w:eastAsia="sl-SI"/>
        </w:rPr>
        <w:t>jo mobilnost v doma</w:t>
      </w:r>
      <w:r>
        <w:rPr>
          <w:rFonts w:ascii="TTE2t00" w:hAnsi="TTE2t00" w:cs="TTE2t00"/>
          <w:color w:val="FF0000"/>
          <w:lang w:eastAsia="sl-SI"/>
        </w:rPr>
        <w:t>č</w:t>
      </w:r>
      <w:r w:rsidRPr="00FA1BFF">
        <w:rPr>
          <w:color w:val="FF0000"/>
          <w:lang w:eastAsia="sl-SI"/>
        </w:rPr>
        <w:t>em in mednarodnem prostoru, bolj kakovostno produkcijo in promocijo; ve</w:t>
      </w:r>
      <w:r>
        <w:rPr>
          <w:rFonts w:ascii="TTE2t00" w:hAnsi="TTE2t00" w:cs="TTE2t00"/>
          <w:color w:val="FF0000"/>
          <w:lang w:eastAsia="sl-SI"/>
        </w:rPr>
        <w:t>č</w:t>
      </w:r>
      <w:r w:rsidRPr="00FA1BFF">
        <w:rPr>
          <w:color w:val="FF0000"/>
          <w:lang w:eastAsia="sl-SI"/>
        </w:rPr>
        <w:t>jo motivacijo za vlagatelje in zbiratelje umetnin.</w:t>
      </w:r>
    </w:p>
    <w:p w:rsidR="00153EC9" w:rsidRPr="00FA1BFF" w:rsidRDefault="00153EC9" w:rsidP="00A50896">
      <w:pPr>
        <w:rPr>
          <w:color w:val="FF0000"/>
          <w:lang w:eastAsia="sl-SI"/>
        </w:rPr>
      </w:pPr>
      <w:r>
        <w:rPr>
          <w:rFonts w:ascii="TTE3t00" w:hAnsi="TTE3t00" w:cs="TTE3t00"/>
          <w:color w:val="FF0000"/>
          <w:lang w:eastAsia="sl-SI"/>
        </w:rPr>
        <w:t>Č</w:t>
      </w:r>
      <w:r w:rsidRPr="00FA1BFF">
        <w:rPr>
          <w:rFonts w:ascii="Times-Italic" w:hAnsi="Times-Italic" w:cs="Times-Italic"/>
          <w:i/>
          <w:iCs/>
          <w:color w:val="FF0000"/>
          <w:lang w:eastAsia="sl-SI"/>
        </w:rPr>
        <w:t>as izvedbe</w:t>
      </w:r>
      <w:r w:rsidRPr="00FA1BFF">
        <w:rPr>
          <w:color w:val="FF0000"/>
          <w:lang w:eastAsia="sl-SI"/>
        </w:rPr>
        <w:t>: ukrep 1: do leta 2015, ukrep 2: stalna naloga.</w:t>
      </w:r>
    </w:p>
    <w:p w:rsidR="00153EC9" w:rsidRPr="00FA1BFF" w:rsidRDefault="00153EC9" w:rsidP="00A50896">
      <w:pPr>
        <w:rPr>
          <w:color w:val="FF0000"/>
          <w:lang w:eastAsia="sl-SI"/>
        </w:rPr>
      </w:pPr>
      <w:r w:rsidRPr="00FA1BFF">
        <w:rPr>
          <w:rFonts w:ascii="Times-Italic" w:hAnsi="Times-Italic" w:cs="Times-Italic"/>
          <w:i/>
          <w:iCs/>
          <w:color w:val="FF0000"/>
          <w:lang w:eastAsia="sl-SI"/>
        </w:rPr>
        <w:t xml:space="preserve">Ocena </w:t>
      </w:r>
      <w:proofErr w:type="spellStart"/>
      <w:r w:rsidRPr="00FA1BFF">
        <w:rPr>
          <w:rFonts w:ascii="Times-Italic" w:hAnsi="Times-Italic" w:cs="Times-Italic"/>
          <w:i/>
          <w:iCs/>
          <w:color w:val="FF0000"/>
          <w:lang w:eastAsia="sl-SI"/>
        </w:rPr>
        <w:t>finan</w:t>
      </w:r>
      <w:r w:rsidRPr="00FA1BFF">
        <w:rPr>
          <w:rFonts w:ascii="TTE3t00" w:hAnsi="TTE3t00" w:cs="TTE3t00"/>
          <w:color w:val="FF0000"/>
          <w:lang w:eastAsia="sl-SI"/>
        </w:rPr>
        <w:t>c</w:t>
      </w:r>
      <w:r w:rsidRPr="00FA1BFF">
        <w:rPr>
          <w:rFonts w:ascii="Times-Italic" w:hAnsi="Times-Italic" w:cs="Times-Italic"/>
          <w:i/>
          <w:iCs/>
          <w:color w:val="FF0000"/>
          <w:lang w:eastAsia="sl-SI"/>
        </w:rPr>
        <w:t>nih</w:t>
      </w:r>
      <w:proofErr w:type="spellEnd"/>
      <w:r w:rsidRPr="00FA1BFF">
        <w:rPr>
          <w:rFonts w:ascii="Times-Italic" w:hAnsi="Times-Italic" w:cs="Times-Italic"/>
          <w:i/>
          <w:iCs/>
          <w:color w:val="FF0000"/>
          <w:lang w:eastAsia="sl-SI"/>
        </w:rPr>
        <w:t xml:space="preserve"> sredstev</w:t>
      </w:r>
      <w:r w:rsidRPr="00FA1BFF">
        <w:rPr>
          <w:color w:val="FF0000"/>
          <w:lang w:eastAsia="sl-SI"/>
        </w:rPr>
        <w:t>:</w:t>
      </w:r>
    </w:p>
    <w:p w:rsidR="00153EC9" w:rsidRPr="00FA1BFF" w:rsidRDefault="00153EC9" w:rsidP="00A50896">
      <w:pPr>
        <w:rPr>
          <w:color w:val="FF0000"/>
          <w:lang w:eastAsia="sl-SI"/>
        </w:rPr>
      </w:pPr>
      <w:r w:rsidRPr="00FA1BFF">
        <w:rPr>
          <w:color w:val="FF0000"/>
          <w:lang w:eastAsia="sl-SI"/>
        </w:rPr>
        <w:t>Ukrep 1: Finan</w:t>
      </w:r>
      <w:r>
        <w:rPr>
          <w:rFonts w:ascii="TTE2t00" w:hAnsi="TTE2t00" w:cs="TTE2t00"/>
          <w:color w:val="FF0000"/>
          <w:lang w:eastAsia="sl-SI"/>
        </w:rPr>
        <w:t>č</w:t>
      </w:r>
      <w:r w:rsidRPr="00FA1BFF">
        <w:rPr>
          <w:color w:val="FF0000"/>
          <w:lang w:eastAsia="sl-SI"/>
        </w:rPr>
        <w:t>ne posledice za državni prora</w:t>
      </w:r>
      <w:r>
        <w:rPr>
          <w:rFonts w:ascii="TTE2t00" w:hAnsi="TTE2t00" w:cs="TTE2t00"/>
          <w:color w:val="FF0000"/>
          <w:lang w:eastAsia="sl-SI"/>
        </w:rPr>
        <w:t>č</w:t>
      </w:r>
      <w:r w:rsidRPr="00FA1BFF">
        <w:rPr>
          <w:color w:val="FF0000"/>
          <w:lang w:eastAsia="sl-SI"/>
        </w:rPr>
        <w:t xml:space="preserve">un in druga </w:t>
      </w:r>
      <w:proofErr w:type="spellStart"/>
      <w:r w:rsidRPr="00FA1BFF">
        <w:rPr>
          <w:color w:val="FF0000"/>
          <w:lang w:eastAsia="sl-SI"/>
        </w:rPr>
        <w:t>javnofinan</w:t>
      </w:r>
      <w:r w:rsidRPr="00FA1BFF">
        <w:rPr>
          <w:rFonts w:ascii="TTE2t00" w:hAnsi="TTE2t00" w:cs="TTE2t00"/>
          <w:color w:val="FF0000"/>
          <w:lang w:eastAsia="sl-SI"/>
        </w:rPr>
        <w:t>c</w:t>
      </w:r>
      <w:r w:rsidRPr="00FA1BFF">
        <w:rPr>
          <w:color w:val="FF0000"/>
          <w:lang w:eastAsia="sl-SI"/>
        </w:rPr>
        <w:t>na</w:t>
      </w:r>
      <w:proofErr w:type="spellEnd"/>
      <w:r w:rsidRPr="00FA1BFF">
        <w:rPr>
          <w:color w:val="FF0000"/>
          <w:lang w:eastAsia="sl-SI"/>
        </w:rPr>
        <w:t xml:space="preserve"> sredstva se raztezajo na vse posredne in neposredne prora</w:t>
      </w:r>
      <w:r>
        <w:rPr>
          <w:rFonts w:ascii="TTE2t00" w:hAnsi="TTE2t00" w:cs="TTE2t00"/>
          <w:color w:val="FF0000"/>
          <w:lang w:eastAsia="sl-SI"/>
        </w:rPr>
        <w:t>č</w:t>
      </w:r>
      <w:r w:rsidRPr="00FA1BFF">
        <w:rPr>
          <w:color w:val="FF0000"/>
          <w:lang w:eastAsia="sl-SI"/>
        </w:rPr>
        <w:t xml:space="preserve">unske porabnike, ki nastopajo v vlogi investitorja v javne </w:t>
      </w:r>
      <w:r>
        <w:rPr>
          <w:color w:val="FF0000"/>
          <w:lang w:eastAsia="sl-SI"/>
        </w:rPr>
        <w:t>i</w:t>
      </w:r>
      <w:r w:rsidRPr="00FA1BFF">
        <w:rPr>
          <w:color w:val="FF0000"/>
          <w:lang w:eastAsia="sl-SI"/>
        </w:rPr>
        <w:t>nfrastrukturne objekte v vrednosti nad 1 mio EUR. V vseh navedenih primerih se vrednost investicije glede na predlagane dolo</w:t>
      </w:r>
      <w:r>
        <w:rPr>
          <w:rFonts w:ascii="TTE2t00" w:hAnsi="TTE2t00" w:cs="TTE2t00"/>
          <w:color w:val="FF0000"/>
          <w:lang w:eastAsia="sl-SI"/>
        </w:rPr>
        <w:t>č</w:t>
      </w:r>
      <w:r w:rsidRPr="00FA1BFF">
        <w:rPr>
          <w:color w:val="FF0000"/>
          <w:lang w:eastAsia="sl-SI"/>
        </w:rPr>
        <w:t>be zakona pove</w:t>
      </w:r>
      <w:r>
        <w:rPr>
          <w:rFonts w:ascii="TTE2t00" w:hAnsi="TTE2t00" w:cs="TTE2t00"/>
          <w:color w:val="FF0000"/>
          <w:lang w:eastAsia="sl-SI"/>
        </w:rPr>
        <w:t>č</w:t>
      </w:r>
      <w:r w:rsidRPr="00FA1BFF">
        <w:rPr>
          <w:color w:val="FF0000"/>
          <w:lang w:eastAsia="sl-SI"/>
        </w:rPr>
        <w:t>a za dolo</w:t>
      </w:r>
      <w:r>
        <w:rPr>
          <w:rFonts w:ascii="TTE2t00" w:hAnsi="TTE2t00" w:cs="TTE2t00"/>
          <w:color w:val="FF0000"/>
          <w:lang w:eastAsia="sl-SI"/>
        </w:rPr>
        <w:t>č</w:t>
      </w:r>
      <w:r w:rsidRPr="00FA1BFF">
        <w:rPr>
          <w:color w:val="FF0000"/>
          <w:lang w:eastAsia="sl-SI"/>
        </w:rPr>
        <w:t>en odstotek, sredstva pa se v celoti namenijo za honorar umetnikom, kar pomeni, da je treba za neto u</w:t>
      </w:r>
      <w:r>
        <w:rPr>
          <w:rFonts w:ascii="TTE2t00" w:hAnsi="TTE2t00" w:cs="TTE2t00"/>
          <w:color w:val="FF0000"/>
          <w:lang w:eastAsia="sl-SI"/>
        </w:rPr>
        <w:t>č</w:t>
      </w:r>
      <w:r w:rsidRPr="00FA1BFF">
        <w:rPr>
          <w:color w:val="FF0000"/>
          <w:lang w:eastAsia="sl-SI"/>
        </w:rPr>
        <w:t>inek upoštevati še popla</w:t>
      </w:r>
      <w:r>
        <w:rPr>
          <w:rFonts w:ascii="TTE2t00" w:hAnsi="TTE2t00" w:cs="TTE2t00"/>
          <w:color w:val="FF0000"/>
          <w:lang w:eastAsia="sl-SI"/>
        </w:rPr>
        <w:t>č</w:t>
      </w:r>
      <w:r w:rsidRPr="00FA1BFF">
        <w:rPr>
          <w:color w:val="FF0000"/>
          <w:lang w:eastAsia="sl-SI"/>
        </w:rPr>
        <w:t>ila davš</w:t>
      </w:r>
      <w:r>
        <w:rPr>
          <w:rFonts w:ascii="TTE2t00" w:hAnsi="TTE2t00" w:cs="TTE2t00"/>
          <w:color w:val="FF0000"/>
          <w:lang w:eastAsia="sl-SI"/>
        </w:rPr>
        <w:t>č</w:t>
      </w:r>
      <w:r w:rsidRPr="00FA1BFF">
        <w:rPr>
          <w:color w:val="FF0000"/>
          <w:lang w:eastAsia="sl-SI"/>
        </w:rPr>
        <w:t>in z njihove strani.</w:t>
      </w:r>
    </w:p>
    <w:p w:rsidR="00153EC9" w:rsidRPr="00FA1BFF" w:rsidRDefault="00153EC9" w:rsidP="00A50896">
      <w:pPr>
        <w:rPr>
          <w:color w:val="FF0000"/>
          <w:lang w:eastAsia="sl-SI"/>
        </w:rPr>
      </w:pPr>
      <w:r w:rsidRPr="00FA1BFF">
        <w:rPr>
          <w:color w:val="FF0000"/>
          <w:lang w:eastAsia="sl-SI"/>
        </w:rPr>
        <w:t>Finan</w:t>
      </w:r>
      <w:r>
        <w:rPr>
          <w:rFonts w:ascii="TTE2t00" w:hAnsi="TTE2t00" w:cs="TTE2t00"/>
          <w:color w:val="FF0000"/>
          <w:lang w:eastAsia="sl-SI"/>
        </w:rPr>
        <w:t>č</w:t>
      </w:r>
      <w:r w:rsidRPr="00FA1BFF">
        <w:rPr>
          <w:color w:val="FF0000"/>
          <w:lang w:eastAsia="sl-SI"/>
        </w:rPr>
        <w:t>na sredstva za ukrep 2 so delno opredeljena že v cilju 4.</w:t>
      </w:r>
    </w:p>
    <w:p w:rsidR="00153EC9" w:rsidRPr="00FA1BFF" w:rsidRDefault="00153EC9" w:rsidP="00A50896">
      <w:pPr>
        <w:rPr>
          <w:color w:val="FF0000"/>
          <w:lang w:eastAsia="sl-SI"/>
        </w:rPr>
      </w:pPr>
      <w:r w:rsidRPr="00FA1BFF">
        <w:rPr>
          <w:rFonts w:ascii="Times-Italic" w:hAnsi="Times-Italic" w:cs="Times-Italic"/>
          <w:i/>
          <w:iCs/>
          <w:color w:val="FF0000"/>
          <w:lang w:eastAsia="sl-SI"/>
        </w:rPr>
        <w:t>Odgovornost</w:t>
      </w:r>
      <w:r w:rsidRPr="00FA1BFF">
        <w:rPr>
          <w:color w:val="FF0000"/>
          <w:lang w:eastAsia="sl-SI"/>
        </w:rPr>
        <w:t>: MIZKŠ, MF, MOP.</w:t>
      </w:r>
    </w:p>
    <w:p w:rsidR="00153EC9" w:rsidRPr="00FA1BFF" w:rsidRDefault="00153EC9" w:rsidP="00A50896">
      <w:pPr>
        <w:rPr>
          <w:color w:val="FF0000"/>
          <w:lang w:eastAsia="sl-SI"/>
        </w:rPr>
      </w:pPr>
      <w:r w:rsidRPr="00FA1BFF">
        <w:rPr>
          <w:rFonts w:ascii="Times-Italic" w:hAnsi="Times-Italic" w:cs="Times-Italic"/>
          <w:i/>
          <w:iCs/>
          <w:color w:val="FF0000"/>
          <w:lang w:eastAsia="sl-SI"/>
        </w:rPr>
        <w:t>Kazalniki</w:t>
      </w:r>
      <w:r w:rsidRPr="00FA1BFF">
        <w:rPr>
          <w:color w:val="FF0000"/>
          <w:lang w:eastAsia="sl-SI"/>
        </w:rPr>
        <w:t>: število objektov, opremljenih z likovnimi deli, njihove vrednosti in zvrstnost,</w:t>
      </w:r>
    </w:p>
    <w:p w:rsidR="00153EC9" w:rsidRPr="00FA1BFF" w:rsidRDefault="00153EC9" w:rsidP="00A50896">
      <w:pPr>
        <w:rPr>
          <w:color w:val="FF0000"/>
          <w:lang w:eastAsia="sl-SI"/>
        </w:rPr>
      </w:pPr>
      <w:r w:rsidRPr="00FA1BFF">
        <w:rPr>
          <w:color w:val="FF0000"/>
          <w:lang w:eastAsia="sl-SI"/>
        </w:rPr>
        <w:t>število udeleženih umetnikov, število in u</w:t>
      </w:r>
      <w:r>
        <w:rPr>
          <w:rFonts w:ascii="TTE2t00" w:hAnsi="TTE2t00" w:cs="TTE2t00"/>
          <w:color w:val="FF0000"/>
          <w:lang w:eastAsia="sl-SI"/>
        </w:rPr>
        <w:t>č</w:t>
      </w:r>
      <w:r w:rsidRPr="00FA1BFF">
        <w:rPr>
          <w:color w:val="FF0000"/>
          <w:lang w:eastAsia="sl-SI"/>
        </w:rPr>
        <w:t>inki delovnih štipendij in reziden</w:t>
      </w:r>
      <w:r>
        <w:rPr>
          <w:rFonts w:ascii="TTE2t00" w:hAnsi="TTE2t00" w:cs="TTE2t00"/>
          <w:color w:val="FF0000"/>
          <w:lang w:eastAsia="sl-SI"/>
        </w:rPr>
        <w:t>čn</w:t>
      </w:r>
      <w:r w:rsidRPr="00FA1BFF">
        <w:rPr>
          <w:color w:val="FF0000"/>
          <w:lang w:eastAsia="sl-SI"/>
        </w:rPr>
        <w:t>ih udeležb.</w:t>
      </w:r>
    </w:p>
    <w:p w:rsidR="00153EC9" w:rsidRDefault="00153EC9" w:rsidP="00C614C0">
      <w:pPr>
        <w:pStyle w:val="NoSpacing"/>
      </w:pPr>
    </w:p>
    <w:p w:rsidR="00153EC9" w:rsidRDefault="00153EC9" w:rsidP="00C614C0">
      <w:pPr>
        <w:pStyle w:val="NoSpacing"/>
      </w:pPr>
    </w:p>
    <w:p w:rsidR="00153EC9" w:rsidRDefault="00153EC9" w:rsidP="00A16450">
      <w:pPr>
        <w:pStyle w:val="NoSpacing"/>
        <w:outlineLvl w:val="0"/>
      </w:pPr>
      <w:r>
        <w:t>Zapisali člani Odprte zbornice za sodobno umetnost</w:t>
      </w:r>
    </w:p>
    <w:p w:rsidR="00153EC9" w:rsidRDefault="00153EC9" w:rsidP="00C614C0">
      <w:pPr>
        <w:pStyle w:val="NoSpacing"/>
      </w:pPr>
    </w:p>
    <w:p w:rsidR="00153EC9" w:rsidRDefault="00153EC9" w:rsidP="00C614C0">
      <w:pPr>
        <w:pStyle w:val="NoSpacing"/>
      </w:pPr>
      <w:r>
        <w:t>Ljubljana, 2</w:t>
      </w:r>
      <w:r w:rsidR="00E44237">
        <w:t>5</w:t>
      </w:r>
      <w:r>
        <w:t xml:space="preserve">. </w:t>
      </w:r>
      <w:r w:rsidR="00E44237">
        <w:t>3</w:t>
      </w:r>
      <w:r>
        <w:t>. 2013</w:t>
      </w:r>
      <w:r>
        <w:br/>
      </w:r>
    </w:p>
    <w:p w:rsidR="00DF71AE" w:rsidRDefault="00DF71AE" w:rsidP="00C614C0">
      <w:pPr>
        <w:pStyle w:val="NoSpacing"/>
      </w:pPr>
    </w:p>
    <w:p w:rsidR="00DF71AE" w:rsidRPr="003F603F" w:rsidRDefault="00DF71AE" w:rsidP="00DF71AE">
      <w:pPr>
        <w:pStyle w:val="NoSpacing"/>
      </w:pPr>
      <w:r w:rsidRPr="003F603F">
        <w:t>Odprta zbornica za vizualno umetnost</w:t>
      </w:r>
      <w:r w:rsidRPr="003F603F">
        <w:br/>
        <w:t xml:space="preserve">KUD Mreža / Galerija </w:t>
      </w:r>
      <w:proofErr w:type="spellStart"/>
      <w:r w:rsidRPr="003F603F">
        <w:t>Alkatraz</w:t>
      </w:r>
      <w:proofErr w:type="spellEnd"/>
      <w:r w:rsidRPr="003F603F">
        <w:br/>
        <w:t>Masarykova 24</w:t>
      </w:r>
      <w:r w:rsidRPr="003F603F">
        <w:br/>
        <w:t>1000 Ljubljana</w:t>
      </w:r>
    </w:p>
    <w:p w:rsidR="00DF71AE" w:rsidRPr="003F603F" w:rsidRDefault="00DF71AE" w:rsidP="00DF71AE">
      <w:pPr>
        <w:pStyle w:val="NoSpacing"/>
      </w:pPr>
      <w:r w:rsidRPr="003F603F">
        <w:t>odprtazbornica@gmail.com</w:t>
      </w:r>
    </w:p>
    <w:p w:rsidR="00DF71AE" w:rsidRPr="00C614C0" w:rsidRDefault="00DF71AE" w:rsidP="00C614C0">
      <w:pPr>
        <w:pStyle w:val="NoSpacing"/>
      </w:pPr>
    </w:p>
    <w:sectPr w:rsidR="00DF71AE" w:rsidRPr="00C614C0" w:rsidSect="004411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TTE2t00">
    <w:altName w:val="Times New Roman"/>
    <w:panose1 w:val="00000000000000000000"/>
    <w:charset w:val="00"/>
    <w:family w:val="auto"/>
    <w:notTrueType/>
    <w:pitch w:val="default"/>
    <w:sig w:usb0="00000003" w:usb1="00000000" w:usb2="00000000" w:usb3="00000000" w:csb0="00000001" w:csb1="00000000"/>
  </w:font>
  <w:font w:name="TTE3t00">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70C51"/>
    <w:multiLevelType w:val="hybridMultilevel"/>
    <w:tmpl w:val="A6FCA076"/>
    <w:lvl w:ilvl="0" w:tplc="B920A45A">
      <w:numFmt w:val="bullet"/>
      <w:lvlText w:val="-"/>
      <w:lvlJc w:val="left"/>
      <w:pPr>
        <w:tabs>
          <w:tab w:val="num" w:pos="720"/>
        </w:tabs>
        <w:ind w:left="720" w:hanging="360"/>
      </w:pPr>
      <w:rPr>
        <w:rFonts w:ascii="Calibri" w:eastAsia="Times New Roman" w:hAnsi="Calibri"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4A5612A3"/>
    <w:multiLevelType w:val="hybridMultilevel"/>
    <w:tmpl w:val="30B01648"/>
    <w:lvl w:ilvl="0" w:tplc="33A46D14">
      <w:start w:val="7"/>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202B7"/>
    <w:rsid w:val="00005905"/>
    <w:rsid w:val="000202B7"/>
    <w:rsid w:val="00061978"/>
    <w:rsid w:val="000934B5"/>
    <w:rsid w:val="00153EC9"/>
    <w:rsid w:val="00166C0B"/>
    <w:rsid w:val="00172F76"/>
    <w:rsid w:val="002223E4"/>
    <w:rsid w:val="0022398E"/>
    <w:rsid w:val="002F635B"/>
    <w:rsid w:val="00336170"/>
    <w:rsid w:val="0044111B"/>
    <w:rsid w:val="004D26EE"/>
    <w:rsid w:val="005237EC"/>
    <w:rsid w:val="00550F42"/>
    <w:rsid w:val="00606279"/>
    <w:rsid w:val="006A7ADB"/>
    <w:rsid w:val="006D2726"/>
    <w:rsid w:val="007D07FE"/>
    <w:rsid w:val="0080169F"/>
    <w:rsid w:val="008700FF"/>
    <w:rsid w:val="008A3BCB"/>
    <w:rsid w:val="008E703C"/>
    <w:rsid w:val="00921A16"/>
    <w:rsid w:val="00927BB5"/>
    <w:rsid w:val="00961B17"/>
    <w:rsid w:val="00962F90"/>
    <w:rsid w:val="009C665D"/>
    <w:rsid w:val="009E6E3C"/>
    <w:rsid w:val="009F627D"/>
    <w:rsid w:val="00A16450"/>
    <w:rsid w:val="00A45FEE"/>
    <w:rsid w:val="00A50896"/>
    <w:rsid w:val="00B96882"/>
    <w:rsid w:val="00B97524"/>
    <w:rsid w:val="00BD25A3"/>
    <w:rsid w:val="00C366D5"/>
    <w:rsid w:val="00C614C0"/>
    <w:rsid w:val="00CB2086"/>
    <w:rsid w:val="00CF2387"/>
    <w:rsid w:val="00CF3E61"/>
    <w:rsid w:val="00CF5C67"/>
    <w:rsid w:val="00DD004A"/>
    <w:rsid w:val="00DD0451"/>
    <w:rsid w:val="00DF71AE"/>
    <w:rsid w:val="00E30B17"/>
    <w:rsid w:val="00E44237"/>
    <w:rsid w:val="00E5041A"/>
    <w:rsid w:val="00F60F69"/>
    <w:rsid w:val="00FA1BF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11B"/>
    <w:pPr>
      <w:spacing w:after="200" w:line="276" w:lineRule="auto"/>
    </w:pPr>
    <w:rPr>
      <w:lang w:eastAsia="en-US"/>
    </w:rPr>
  </w:style>
  <w:style w:type="paragraph" w:styleId="Heading1">
    <w:name w:val="heading 1"/>
    <w:basedOn w:val="Normal"/>
    <w:next w:val="Normal"/>
    <w:link w:val="Heading1Char"/>
    <w:uiPriority w:val="99"/>
    <w:qFormat/>
    <w:rsid w:val="00C366D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66D5"/>
    <w:rPr>
      <w:rFonts w:ascii="Cambria" w:hAnsi="Cambria" w:cs="Times New Roman"/>
      <w:b/>
      <w:bCs/>
      <w:color w:val="365F91"/>
      <w:sz w:val="28"/>
      <w:szCs w:val="28"/>
    </w:rPr>
  </w:style>
  <w:style w:type="paragraph" w:styleId="NoSpacing">
    <w:name w:val="No Spacing"/>
    <w:qFormat/>
    <w:rsid w:val="000202B7"/>
    <w:rPr>
      <w:lang w:eastAsia="en-US"/>
    </w:rPr>
  </w:style>
  <w:style w:type="character" w:customStyle="1" w:styleId="apple-converted-space">
    <w:name w:val="apple-converted-space"/>
    <w:basedOn w:val="DefaultParagraphFont"/>
    <w:uiPriority w:val="99"/>
    <w:rsid w:val="000202B7"/>
    <w:rPr>
      <w:rFonts w:cs="Times New Roman"/>
    </w:rPr>
  </w:style>
  <w:style w:type="paragraph" w:styleId="NormalWeb">
    <w:name w:val="Normal (Web)"/>
    <w:basedOn w:val="Normal"/>
    <w:uiPriority w:val="99"/>
    <w:rsid w:val="000202B7"/>
    <w:pPr>
      <w:spacing w:before="100" w:beforeAutospacing="1" w:after="100" w:afterAutospacing="1" w:line="240" w:lineRule="auto"/>
    </w:pPr>
    <w:rPr>
      <w:rFonts w:ascii="Times New Roman" w:eastAsia="Times New Roman" w:hAnsi="Times New Roman"/>
      <w:sz w:val="24"/>
      <w:szCs w:val="24"/>
      <w:lang w:eastAsia="sl-SI"/>
    </w:rPr>
  </w:style>
  <w:style w:type="paragraph" w:styleId="DocumentMap">
    <w:name w:val="Document Map"/>
    <w:basedOn w:val="Normal"/>
    <w:link w:val="DocumentMapChar"/>
    <w:uiPriority w:val="99"/>
    <w:semiHidden/>
    <w:rsid w:val="00A1645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21A16"/>
    <w:rPr>
      <w:rFonts w:ascii="Times New Roman" w:hAnsi="Times New Roman" w:cs="Times New Roman"/>
      <w:sz w:val="2"/>
      <w:lang w:eastAsia="en-US"/>
    </w:rPr>
  </w:style>
  <w:style w:type="character" w:styleId="CommentReference">
    <w:name w:val="annotation reference"/>
    <w:basedOn w:val="DefaultParagraphFont"/>
    <w:uiPriority w:val="99"/>
    <w:semiHidden/>
    <w:rsid w:val="00A16450"/>
    <w:rPr>
      <w:rFonts w:cs="Times New Roman"/>
      <w:sz w:val="16"/>
      <w:szCs w:val="16"/>
    </w:rPr>
  </w:style>
  <w:style w:type="paragraph" w:styleId="CommentText">
    <w:name w:val="annotation text"/>
    <w:basedOn w:val="Normal"/>
    <w:link w:val="CommentTextChar"/>
    <w:uiPriority w:val="99"/>
    <w:semiHidden/>
    <w:rsid w:val="00A16450"/>
    <w:rPr>
      <w:sz w:val="20"/>
      <w:szCs w:val="20"/>
    </w:rPr>
  </w:style>
  <w:style w:type="character" w:customStyle="1" w:styleId="CommentTextChar">
    <w:name w:val="Comment Text Char"/>
    <w:basedOn w:val="DefaultParagraphFont"/>
    <w:link w:val="CommentText"/>
    <w:uiPriority w:val="99"/>
    <w:semiHidden/>
    <w:locked/>
    <w:rsid w:val="00921A16"/>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A16450"/>
    <w:rPr>
      <w:b/>
      <w:bCs/>
    </w:rPr>
  </w:style>
  <w:style w:type="character" w:customStyle="1" w:styleId="CommentSubjectChar">
    <w:name w:val="Comment Subject Char"/>
    <w:basedOn w:val="CommentTextChar"/>
    <w:link w:val="CommentSubject"/>
    <w:uiPriority w:val="99"/>
    <w:semiHidden/>
    <w:locked/>
    <w:rsid w:val="00921A16"/>
    <w:rPr>
      <w:b/>
      <w:bCs/>
    </w:rPr>
  </w:style>
  <w:style w:type="paragraph" w:styleId="BalloonText">
    <w:name w:val="Balloon Text"/>
    <w:basedOn w:val="Normal"/>
    <w:link w:val="BalloonTextChar"/>
    <w:uiPriority w:val="99"/>
    <w:semiHidden/>
    <w:rsid w:val="00A1645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1A16"/>
    <w:rPr>
      <w:rFonts w:ascii="Times New Roman" w:hAnsi="Times New Roman" w:cs="Times New Roman"/>
      <w:sz w:val="2"/>
      <w:lang w:eastAsia="en-US"/>
    </w:rPr>
  </w:style>
  <w:style w:type="character" w:styleId="Emphasis">
    <w:name w:val="Emphasis"/>
    <w:basedOn w:val="DefaultParagraphFont"/>
    <w:qFormat/>
    <w:locked/>
    <w:rsid w:val="00CB2086"/>
    <w:rPr>
      <w:i/>
      <w:iCs/>
    </w:rPr>
  </w:style>
</w:styles>
</file>

<file path=word/webSettings.xml><?xml version="1.0" encoding="utf-8"?>
<w:webSettings xmlns:r="http://schemas.openxmlformats.org/officeDocument/2006/relationships" xmlns:w="http://schemas.openxmlformats.org/wordprocessingml/2006/main">
  <w:divs>
    <w:div w:id="1982148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1740</Words>
  <Characters>9919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Odprta zbornica za sodobno umetnost</vt:lpstr>
    </vt:vector>
  </TitlesOfParts>
  <Company/>
  <LinksUpToDate>false</LinksUpToDate>
  <CharactersWithSpaces>11636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Odprta zbornica za sodobno umetnost</dc:title>
  <dc:creator>Vesna</dc:creator>
  <cp:lastModifiedBy>Vesna</cp:lastModifiedBy>
  <cp:revision>3</cp:revision>
  <dcterms:created xsi:type="dcterms:W3CDTF">2013-03-25T19:45:00Z</dcterms:created>
  <dcterms:modified xsi:type="dcterms:W3CDTF">2013-03-25T20:59:00Z</dcterms:modified>
</cp:coreProperties>
</file>